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7" w:rsidRDefault="00603C3C">
      <w:r w:rsidRPr="00603C3C">
        <w:t>ПО ДАННЫМ ФИНАНСОВОГО УПРАВЛЕНИЯ АДМИНИСТРАЦИИ МУНИЦИПАЛЬНОГО РАЙОНА БАЙМАКСКИЙ РАЙОН РЕСПУБЛИКИ БАШКОРТОСТАН, ПО СОСТОЯНИЮ НА 1 НОЯБРЯ 2020 ГОДА ИСПОЛНЕНИЕ КОНСОЛИДИРОВАННОГО БЮДЖЕТА АДМИНИСТРАЦИИ СЕЛЬСКОГО ПОСЕЛЕНИЯ ТАВЛЫКАЕВСКИЙ СЕЛЬСОВЕТ БАЙМАКСКИЙ РАЙОН ПО ДОХОДАМ СОСТАВИЛО 369279,77 ТЫС. РУБЛЕЙ ИЛИ 35,24%. К ГОДОВОМУ ПЛАНУ. ОСНОВНЫМИ ИСТОЧНИКАМИ ДОХОДОВ В СТРУКТУРЕ НАЛОГОВЫХ И НЕНАЛОГОВЫХ ПОСТУПЛЕНИЙ, ЯВЛЯЮТСЯ: НАЛОГ НА ИМУЩЕСТВО — 16351,85 РУБ. , ЧТО СОСТАВЛЯЕТ 71,10 % ОТ НАЛОГОВЫХ И НЕНАЛОГОВЫХ ДОХОДОВ; ЕДИНЫЙ СЕЛЬСКОХОЗЯЙСТВЕННЫЙ НАЛОГ — 23913,19 ТЫС. РУБ, ИЛИ 9,20</w:t>
      </w:r>
      <w:proofErr w:type="gramStart"/>
      <w:r w:rsidRPr="00603C3C">
        <w:t xml:space="preserve"> % В</w:t>
      </w:r>
      <w:proofErr w:type="gramEnd"/>
      <w:r w:rsidRPr="00603C3C">
        <w:t xml:space="preserve"> СТРУКТУРЕ НАЛОГОВЫХ И НЕНАЛОГОВЫХ ДОХОДОВ; НДФЛ – 53292,88 ТЫС. РУБЛЕЙ ЧТО СОСТАВЛЯЕТ 88,82% ОТ НАЛОГОВЫХ И НЕНАЛОГОВЫХ ДОХОДОВ ,ЗЕМЕЛЬНЫЙ НАЛОГ- 248349,94 ТЫС</w:t>
      </w:r>
      <w:proofErr w:type="gramStart"/>
      <w:r w:rsidRPr="00603C3C">
        <w:t>.Р</w:t>
      </w:r>
      <w:proofErr w:type="gramEnd"/>
      <w:r w:rsidRPr="00603C3C">
        <w:t>УБ, ЧТО СОСТАВЛЯЕТ 36,85 % ОТ НАЛОГОВЫХ И НЕНАЛОГОВЫХ ДОХОДОВ БЕЗВОЗМЕЗДНЫЕ ПОСТУПЛЕНИЯ СОСТАВИЛИ 3155262,90 РУБЛЕЙ, ЧТО СОСТАВЛЯЕТ 98,10 % ОТ ОБЩЕГО ДОХОДА ПОСТУПИВШИХ ЗА ПЕРВЫЕ ДЕСЯТЬ МЕСЯЦЕВ 2020 Г. РАСХОДЫ МУНИЦИПАЛЬНОГО БЮДЖЕТА БАЙМАКСКИЙ РАЙОН РЕСПУБЛИКИ БАШКОРТОСТАН ЗА ЯНВАРЬ–ОКТЯБРЬ МЕСЯЦ 2020 ГОДА ПРОФИНАНСИРОВАНЫ В ОБЪЕМЕ 3524542,67 ТЫС. РУБЛЕЙ. ВЫПОЛНЕНИЕ ГОДОВОГО ПЛАНА СОСТАВИЛО 82,65 %.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1103695,08 ТЫС. РУБ. ИЛИ 66,78 % ОБЩИХ РАСХОДОВ ЗА ДАННЫЙ ПЕРИОД</w:t>
      </w:r>
    </w:p>
    <w:sectPr w:rsidR="000474D7" w:rsidSect="0004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3C"/>
    <w:rsid w:val="000474D7"/>
    <w:rsid w:val="0060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2021-07-21T05:22:00Z</dcterms:created>
  <dcterms:modified xsi:type="dcterms:W3CDTF">2021-07-21T05:22:00Z</dcterms:modified>
</cp:coreProperties>
</file>