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2D" w:rsidRPr="00A31ECF" w:rsidRDefault="00A31ECF" w:rsidP="00A31ECF">
      <w:pPr>
        <w:jc w:val="both"/>
        <w:rPr>
          <w:rFonts w:ascii="Times New Roman" w:hAnsi="Times New Roman" w:cs="Times New Roman"/>
          <w:sz w:val="28"/>
          <w:szCs w:val="28"/>
        </w:rPr>
      </w:pPr>
      <w:r w:rsidRPr="00A31ECF">
        <w:rPr>
          <w:rFonts w:ascii="Times New Roman" w:hAnsi="Times New Roman" w:cs="Times New Roman"/>
          <w:sz w:val="28"/>
          <w:szCs w:val="28"/>
        </w:rPr>
        <w:t>ПО ДАННЫМ ФИНАНСОВОГО УПРАВЛЕНИЯ АДМИНИСТРАЦИИ МУНИЦИПАЛЬНОГО РАЙОНА БАЙМАКСКИЙ РАЙОН РЕСПУБЛИКИ БАШКОРТОСТАН, ПО СОСТОЯНИЮ НА 1 ФЕВРАЛЯ 2021 ГОДА ИСПОЛНЕНИЕ КОНСОЛИДИРОВАННОГО БЮДЖЕТА АДМИНИСТРАЦИИ СЕЛЬСКОГО ПОСЕЛЕНИЯ ТАВЛЫКАЕВСКИЙ СЕЛЬСОВЕТ БАЙМАКСКИЙ РАЙОН ПО ДОХОДАМ СОСТАВИЛ 20144,60 ТЫС. РУБЛЕЙ ИЛИ 2.27%. К ГОДОВОМУ ПЛАНУ. ОСНОВНЫМИ ИСТОЧНИКАМИ ДОХОДОВ В СТРУКТУРЕ НАЛОГОВЫХ И НЕНАЛОГОВЫХ ПОСТУПЛЕНИЙ, ЯВЛЯЮТСЯ: НАЛОГ НА ИМУЩЕСТВО — 1275,43 РУБ.</w:t>
      </w:r>
      <w:proofErr w:type="gramStart"/>
      <w:r w:rsidRPr="00A31E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31ECF">
        <w:rPr>
          <w:rFonts w:ascii="Times New Roman" w:hAnsi="Times New Roman" w:cs="Times New Roman"/>
          <w:sz w:val="28"/>
          <w:szCs w:val="28"/>
        </w:rPr>
        <w:t xml:space="preserve"> ЧТО СОСТАВЛЯЕТ 2,62% ОТ НАЛОГОВЫХ И НЕНАЛОГОВЫХ ДОХОДОВ; НДФЛ – 1627,71 ТЫС. РУБЛЕЙ ЧТО СОСТАВЛЯЕТ 2,67% ОТ НАЛОГОВЫХ И НЕНАЛОГОВЫХ ДОХОДОВ ,ЗЕМЕЛЬНЫЙ НАЛОГ- 8409,93 ТЫС</w:t>
      </w:r>
      <w:proofErr w:type="gramStart"/>
      <w:r w:rsidRPr="00A31EC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1ECF">
        <w:rPr>
          <w:rFonts w:ascii="Times New Roman" w:hAnsi="Times New Roman" w:cs="Times New Roman"/>
          <w:sz w:val="28"/>
          <w:szCs w:val="28"/>
        </w:rPr>
        <w:t>УБ, ЧТО СОСТАВЛЯЕТ 1,37% ОТ НАЛОГОВЫХ И НЕНАЛОГОВЫХ ДОХОДОВ ОТ ОБЩЕГО ДОХОДА ПОСТУПИВШИХ ЗА ПЕРВЫЙ МЕСЯЦ 2021 Г. РАСХОДЫ МУНИЦИПАЛЬНОГО БЮДЖЕТА БАЙМАКСКИЙ РАЙОН РЕСПУБЛИКИ БАШКОРТОСТАН ЗА ЯНВАРЬ МЕСЯЦ 2021 ГОДА ПРОФИНАНСИРОВАНЫ В ОБЪЕМЕ 20144,60 ТЫС. РУБЛЕЙ. ВЫПОЛНЕНИЕ ГОДОВОГО ПЛАНА СОСТАВИЛО 0,56%. В ОТРАСЛЕВОЙ СТРУКТУРЕ РАСХОДОВ НАИБОЛЬШИЙ УДЕЛЬНЫЙ ВЕС ЗАНИМАЕТ ЗАТРАТЫ ПО ФУНКЦИОНИРОВАНИЮ АППАРАТА УПРАВЛЕНИЯ ДАННОГО СЕЛЬСКОГО ПОСЕЛЕНИЯ, НА ДОЛЮ КОТОРОГО ПРИХОДИТСЯ 15,000 ТЫС. РУБ. ИЛИ 0,90 % ОБЩИХ РАСХОДОВ ЗА ДАННЫЙ ПЕРИОД</w:t>
      </w:r>
    </w:p>
    <w:sectPr w:rsidR="00591B2D" w:rsidRPr="00A31ECF" w:rsidSect="00591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ECF"/>
    <w:rsid w:val="00591B2D"/>
    <w:rsid w:val="00A3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2021-07-21T04:59:00Z</dcterms:created>
  <dcterms:modified xsi:type="dcterms:W3CDTF">2021-07-21T04:59:00Z</dcterms:modified>
</cp:coreProperties>
</file>