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78" w:rsidRPr="00F361EF" w:rsidRDefault="00495B78" w:rsidP="00495B78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</w:pP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марта 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2022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42939,63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ТЫС. РУБЛЕЙ ИЛИ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4,25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% К ГОДОВОМУ ПЛАНУ. ОСНОВНЫМИ ИСТОЧНИКАМИ ДОХОДОВ В СТРУКТУРЕ НАЛОГОВЫХ И НЕНАЛОГОВЫХ ПОСТУПЛЕНИЙ, ЯВЛЯЮТСЯ: НАЛОГ НА ИМУЩЕСТВО —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2503,08 РУБ. , ЧТО СОСТАВЛЯЕТ 5,11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% ОТ НАЛОГОВЫХ И НЕНАЛОГОВЫХ ДОХОДОВ; ЕДИНЫЙ СЕЛЬСКОХОЗЯЙСТВЕННЫЙ НАЛОГ — 3331,50 ТЫС. РУБ, ИЛИ 11,11% В СТРУКТУРЕ НАЛОГОВЫХ И НЕНАЛОГОВЫХ ДОХОДОВ; НДФЛ –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5790,98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ТЫС. РУБЛЕЙ ЧТО СОСТАВЛЯЕТ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8,77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% ОТ НАЛОГОВЫХ И НЕНАЛОГОВЫХ ДОХОДОВ , ЗЕМЕЛЬНЫЙ НАЛОГ-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27714,07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ТЫС.РУБ, ЧТО СОСТАВЛЯЕТ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4,09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80191,46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ТЫС.РУБ, ЧТО СОСТАВЛЯЕТ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10,25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% ОТ НАЛОГОВЫХ И НЕНАЛОГОВЫХ ДОХОДОВ, БЕЗВОЗМЕЗДНЫЕ ПОСТУПЛЕНИЯ СОСТАВИЛИ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460675,00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РУБЛЕЙ, ЧТО СОСТАВЛЯЕТ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15,91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% ОТ ОБЩЕГО ДОХОДА ПОСТУПИВШИХ ЗА ПЕРВЫЕ 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три 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МЕСЯЦ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а 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>2022 Г. РАСХОДЫ МУНИЦИПАЛЬНОГО БЮДЖЕТА БАЙМАКСКИЙ РА</w:t>
      </w:r>
      <w:r w:rsidRPr="00495B78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ЙОН РЕСПУБЛИКИ БАШКОРТОСТАН ЗА февраль </w:t>
      </w:r>
      <w:r w:rsidRPr="00F361EF">
        <w:rPr>
          <w:rFonts w:ascii="Oswald" w:eastAsia="Times New Roman" w:hAnsi="Oswald" w:cs="Times New Roman"/>
          <w:caps/>
          <w:color w:val="4D4D4D"/>
          <w:spacing w:val="15"/>
          <w:kern w:val="36"/>
          <w:sz w:val="24"/>
          <w:szCs w:val="24"/>
          <w:lang w:eastAsia="ru-RU"/>
        </w:rPr>
        <w:t xml:space="preserve"> МЕСЯЦ 2022 ГОДА ПРОФИНАНСИРОВАНЫ В ОБЪЕМЕ </w:t>
      </w:r>
      <w:r w:rsidRPr="00495B78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>503614,63</w:t>
      </w:r>
      <w:r w:rsidRPr="00F361EF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 xml:space="preserve"> ТЫС. РУБЛЕЙ. ВЫПОЛНЕНИЕ ГОД</w:t>
      </w:r>
      <w:r w:rsidRPr="00495B78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>ОВОГО ПЛАНА СОСТАВИЛО 12,89</w:t>
      </w:r>
      <w:r w:rsidRPr="00F361EF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</w:t>
      </w:r>
      <w:r w:rsidRPr="00495B78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>ОЛЮ КОТОРОГО ПРИХОДИТСЯ 169078,94 ТЫС. РУБ. ИЛИ 10,01</w:t>
      </w:r>
      <w:r w:rsidRPr="00F361EF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 xml:space="preserve"> % ОБЩИХ РАСХОДОВ ЗА ДАННЫЙ П</w:t>
      </w:r>
      <w:r w:rsidRPr="00495B78">
        <w:rPr>
          <w:rFonts w:ascii="Oswald" w:eastAsia="Times New Roman" w:hAnsi="Oswald" w:cs="Times New Roman"/>
          <w:caps/>
          <w:spacing w:val="15"/>
          <w:kern w:val="36"/>
          <w:sz w:val="24"/>
          <w:szCs w:val="24"/>
          <w:lang w:eastAsia="ru-RU"/>
        </w:rPr>
        <w:t>ЕРИОд.</w:t>
      </w:r>
      <w:bookmarkStart w:id="0" w:name="_GoBack"/>
      <w:bookmarkEnd w:id="0"/>
    </w:p>
    <w:p w:rsidR="00F875D9" w:rsidRDefault="00F875D9"/>
    <w:sectPr w:rsidR="00F8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96"/>
    <w:rsid w:val="00125F96"/>
    <w:rsid w:val="00495B78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0436"/>
  <w15:chartTrackingRefBased/>
  <w15:docId w15:val="{AB097BC0-0833-417E-8982-2ACE7CDD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6E18-C674-4309-A0E8-BF60912C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2022-03-16T03:32:00Z</dcterms:created>
  <dcterms:modified xsi:type="dcterms:W3CDTF">2022-03-16T03:32:00Z</dcterms:modified>
</cp:coreProperties>
</file>