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24" w:rsidRDefault="00BC3524" w:rsidP="00BC3524">
      <w:pPr>
        <w:shd w:val="clear" w:color="auto" w:fill="FFFFFF"/>
        <w:spacing w:after="255" w:line="480" w:lineRule="atLeast"/>
        <w:outlineLvl w:val="0"/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</w:pP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октября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2023 ГОДА ИСПОЛНЕНИЕ КОНСОЛИДИРОВАННОГО БЮДЖЕТА АДМИНИСТРАЦИИ СЕЛЬСКОГО ПОСЕЛЕНИЯ ТАВЛЫКАЕВСКИЙ СЕЛЬСОВЕТ БАЙМАКСКИЙ РАЙОН ПО ДОХОДАМ СОСТАВИЛО 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>140 195,51</w:t>
      </w:r>
      <w:r>
        <w:rPr>
          <w:rFonts w:ascii="Oswald" w:eastAsia="Times New Roman" w:hAnsi="Oswald"/>
          <w:caps/>
          <w:color w:val="4D4D4D"/>
          <w:spacing w:val="15"/>
          <w:kern w:val="36"/>
          <w:lang w:val="ba-RU" w:eastAsia="ru-RU"/>
        </w:rPr>
        <w:t xml:space="preserve">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ТЫС. РУБЛЕЙ ИЛИ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17,11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к ГОДОВОМУ ПЛАНУ. ОСНОВНЫМИ ИСТОЧНИКАМИ ДОХОДОВ В СТРУКТУРЕ НАЛОГОВЫХ И НЕНАЛОГОВЫХ ПОСТУПЛЕНИЙ, ЯВЛЯЮТСЯ: НАЛОГ НА ИМУЩЕСТВО — -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11 163,47 тыс.руб, ЧТО СОСТАВЛЯЕТ – 1,49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% ОТ НАЛОГОВЫХ И НЕНАЛОГОВЫХ ДОХОДОВ; НДФЛ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38 715,86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55,23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ДОХОДОВ; государственная пошлина –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51 600,00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СОСТАВЛЯЕТ 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258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,00 % ОТ НАЛОГОВЫХ И НЕНАЛОГОВЫХ ДОХОДОВ , ЗЕМЕЛЬНЫЙ НАЛОГ-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27 642,70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4,04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функционирование высшего должностного лица субъекта Российской Федерации и муниципального образования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687 742,38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тыс.руб, что составляет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69,88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НАЛОГОВЫХ И НЕНАЛОГОВЫХ ДОХОДОВ, БЕЗВОЗМЕЗДНЫЕ ПОСТУПЛЕНИЯ СОСТАВИЛИ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2 887 085,00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РУБЛЕЙ, ЧТО СОСТАВЛЯЕТ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82,36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ОТ ОБЩЕГО ДОХОДА ПОСТУПИВШИХ ЗА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девятый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Г. РАСХОДЫ МУНИЦИПАЛЬНОГО БЮДЖЕТА БАЙМАКСКИЙ РАЙОН РЕСПУБЛИКИ БАШКОРТОСТАН ЗА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сентябрь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МЕСЯЦ 2023 ГОДА ПРОФИНАНСИРОВАНЫ В ОБЪЕМЕ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3 106 523,21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РУБЛЕЙ. ВЫПОЛНЕНИЕ ГОДОВОГО ПЛАНА СОСТАВИЛО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61,66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969 238,04</w:t>
      </w:r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ТЫС. РУБ. ИЛИ </w:t>
      </w:r>
      <w:r w:rsidR="00666D90"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>50,78</w:t>
      </w:r>
      <w:bookmarkStart w:id="0" w:name="_GoBack"/>
      <w:bookmarkEnd w:id="0"/>
      <w:r>
        <w:rPr>
          <w:rFonts w:ascii="Oswald" w:eastAsia="Times New Roman" w:hAnsi="Oswald"/>
          <w:caps/>
          <w:color w:val="4D4D4D"/>
          <w:spacing w:val="15"/>
          <w:kern w:val="36"/>
          <w:lang w:eastAsia="ru-RU"/>
        </w:rPr>
        <w:t xml:space="preserve"> % ОБЩИХ РАСХОДОВ ЗА ДАННЫЙ ПЕРИОД.</w:t>
      </w:r>
    </w:p>
    <w:p w:rsidR="00BC3524" w:rsidRDefault="00BC3524" w:rsidP="00BC3524"/>
    <w:p w:rsidR="00BC3524" w:rsidRDefault="00BC3524" w:rsidP="00BC3524"/>
    <w:p w:rsidR="00E4070C" w:rsidRPr="00BC3524" w:rsidRDefault="00E4070C" w:rsidP="00BC3524"/>
    <w:sectPr w:rsidR="00E4070C" w:rsidRPr="00B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BD"/>
    <w:rsid w:val="004C50BD"/>
    <w:rsid w:val="00666D90"/>
    <w:rsid w:val="00BC3524"/>
    <w:rsid w:val="00E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5333"/>
  <w15:chartTrackingRefBased/>
  <w15:docId w15:val="{123A871D-F571-4418-88D6-10C37E02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2023-10-06T05:18:00Z</dcterms:created>
  <dcterms:modified xsi:type="dcterms:W3CDTF">2023-10-06T05:37:00Z</dcterms:modified>
</cp:coreProperties>
</file>